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58" w:rsidRPr="00A45EB0" w:rsidRDefault="00E61F58" w:rsidP="00A45EB0">
      <w:pPr>
        <w:jc w:val="center"/>
        <w:rPr>
          <w:rFonts w:ascii="黑体" w:eastAsia="黑体" w:hAnsi="黑体"/>
          <w:b/>
          <w:sz w:val="32"/>
          <w:szCs w:val="32"/>
        </w:rPr>
      </w:pPr>
      <w:bookmarkStart w:id="0" w:name="_Toc523040648"/>
      <w:r w:rsidRPr="00A45EB0">
        <w:rPr>
          <w:rFonts w:ascii="黑体" w:eastAsia="黑体" w:hAnsi="黑体"/>
          <w:b/>
          <w:sz w:val="32"/>
          <w:szCs w:val="32"/>
        </w:rPr>
        <w:t>知识产权保护协议（学生版）</w:t>
      </w:r>
      <w:bookmarkEnd w:id="0"/>
    </w:p>
    <w:p w:rsidR="00E61F58" w:rsidRPr="00E0575A" w:rsidRDefault="00E61F58" w:rsidP="00E61F58">
      <w:pPr>
        <w:rPr>
          <w:color w:val="000000"/>
        </w:rPr>
      </w:pPr>
    </w:p>
    <w:p w:rsidR="00E61F58" w:rsidRPr="00E0575A" w:rsidRDefault="00E61F58" w:rsidP="00E61F58">
      <w:pPr>
        <w:tabs>
          <w:tab w:val="left" w:pos="6660"/>
        </w:tabs>
        <w:adjustRightInd w:val="0"/>
        <w:snapToGrid w:val="0"/>
        <w:spacing w:line="276" w:lineRule="auto"/>
        <w:ind w:firstLineChars="200" w:firstLine="560"/>
        <w:rPr>
          <w:rFonts w:ascii="仿宋" w:eastAsia="仿宋" w:hAnsi="仿宋"/>
          <w:color w:val="000000"/>
          <w:sz w:val="28"/>
          <w:szCs w:val="24"/>
        </w:rPr>
      </w:pPr>
      <w:r w:rsidRPr="00E0575A">
        <w:rPr>
          <w:rFonts w:ascii="仿宋" w:eastAsia="仿宋" w:hAnsi="仿宋"/>
          <w:color w:val="000000"/>
          <w:sz w:val="28"/>
          <w:szCs w:val="24"/>
        </w:rPr>
        <w:t>依据《中华人民共和国促进科技成果转化法》和《高等学校知识产权保护管理规定》，以及实验室的有关规定，华中科技大学</w:t>
      </w:r>
      <w:r>
        <w:rPr>
          <w:rFonts w:ascii="仿宋" w:eastAsia="仿宋" w:hAnsi="仿宋" w:hint="eastAsia"/>
          <w:color w:val="000000"/>
          <w:sz w:val="28"/>
          <w:szCs w:val="24"/>
        </w:rPr>
        <w:t>物理学院引力</w:t>
      </w:r>
      <w:r>
        <w:rPr>
          <w:rFonts w:ascii="仿宋" w:eastAsia="仿宋" w:hAnsi="仿宋"/>
          <w:color w:val="000000"/>
          <w:sz w:val="28"/>
          <w:szCs w:val="24"/>
        </w:rPr>
        <w:t>中心</w:t>
      </w:r>
      <w:r w:rsidRPr="00E0575A">
        <w:rPr>
          <w:rFonts w:ascii="仿宋" w:eastAsia="仿宋" w:hAnsi="仿宋"/>
          <w:color w:val="000000"/>
          <w:sz w:val="28"/>
          <w:szCs w:val="24"/>
        </w:rPr>
        <w:t>（甲方）与实验室研究生（乙方）就知识产权保护事宜达成如下协议：</w:t>
      </w:r>
    </w:p>
    <w:p w:rsidR="00E61F58" w:rsidRPr="00E0575A" w:rsidRDefault="00E61F58" w:rsidP="00E61F58">
      <w:pPr>
        <w:numPr>
          <w:ilvl w:val="0"/>
          <w:numId w:val="1"/>
        </w:numPr>
        <w:tabs>
          <w:tab w:val="left" w:pos="993"/>
        </w:tabs>
        <w:adjustRightInd w:val="0"/>
        <w:snapToGrid w:val="0"/>
        <w:spacing w:line="276" w:lineRule="auto"/>
        <w:rPr>
          <w:rFonts w:ascii="仿宋" w:eastAsia="仿宋" w:hAnsi="仿宋"/>
          <w:b/>
          <w:color w:val="000000"/>
          <w:sz w:val="28"/>
          <w:szCs w:val="24"/>
        </w:rPr>
      </w:pPr>
      <w:r w:rsidRPr="00E0575A">
        <w:rPr>
          <w:rFonts w:ascii="仿宋" w:eastAsia="仿宋" w:hAnsi="仿宋"/>
          <w:b/>
          <w:color w:val="000000"/>
          <w:sz w:val="28"/>
          <w:szCs w:val="24"/>
        </w:rPr>
        <w:t>知识产权保护的范围</w:t>
      </w:r>
    </w:p>
    <w:p w:rsidR="00E61F58" w:rsidRPr="00E0575A" w:rsidRDefault="00E61F58" w:rsidP="00E61F58">
      <w:pPr>
        <w:numPr>
          <w:ilvl w:val="1"/>
          <w:numId w:val="1"/>
        </w:numPr>
        <w:tabs>
          <w:tab w:val="clear" w:pos="780"/>
          <w:tab w:val="left" w:pos="1134"/>
        </w:tabs>
        <w:adjustRightInd w:val="0"/>
        <w:snapToGrid w:val="0"/>
        <w:spacing w:line="276" w:lineRule="auto"/>
        <w:ind w:left="0" w:firstLine="567"/>
        <w:rPr>
          <w:rFonts w:ascii="仿宋" w:eastAsia="仿宋" w:hAnsi="仿宋"/>
          <w:color w:val="000000"/>
          <w:sz w:val="28"/>
          <w:szCs w:val="24"/>
        </w:rPr>
      </w:pPr>
      <w:r w:rsidRPr="00E0575A">
        <w:rPr>
          <w:rFonts w:ascii="仿宋" w:eastAsia="仿宋" w:hAnsi="仿宋"/>
          <w:color w:val="000000"/>
          <w:sz w:val="28"/>
          <w:szCs w:val="24"/>
        </w:rPr>
        <w:t>本协议所述之知识产权归甲方所有，包括属于甲方的专利权及乙方导师的学术思想和乙方利用甲方之物质条件完成导师指定项目而取得的实验数据、技术报告、科研产品和专利权。</w:t>
      </w:r>
    </w:p>
    <w:p w:rsidR="00E61F58" w:rsidRPr="00E0575A" w:rsidRDefault="00E61F58" w:rsidP="00E61F58">
      <w:pPr>
        <w:numPr>
          <w:ilvl w:val="1"/>
          <w:numId w:val="1"/>
        </w:numPr>
        <w:tabs>
          <w:tab w:val="clear" w:pos="780"/>
          <w:tab w:val="left" w:pos="1134"/>
        </w:tabs>
        <w:adjustRightInd w:val="0"/>
        <w:snapToGrid w:val="0"/>
        <w:spacing w:line="276" w:lineRule="auto"/>
        <w:ind w:left="0" w:firstLine="567"/>
        <w:rPr>
          <w:rFonts w:ascii="仿宋" w:eastAsia="仿宋" w:hAnsi="仿宋"/>
          <w:color w:val="000000"/>
          <w:sz w:val="28"/>
          <w:szCs w:val="24"/>
        </w:rPr>
      </w:pPr>
      <w:r w:rsidRPr="00E0575A">
        <w:rPr>
          <w:rFonts w:ascii="仿宋" w:eastAsia="仿宋" w:hAnsi="仿宋"/>
          <w:color w:val="000000"/>
          <w:sz w:val="28"/>
          <w:szCs w:val="24"/>
        </w:rPr>
        <w:t>本协议所述之物质条件，是指资金、仪器设备、原材料、实验条件和技术资料。</w:t>
      </w:r>
    </w:p>
    <w:p w:rsidR="00E61F58" w:rsidRPr="00E0575A" w:rsidRDefault="00E61F58" w:rsidP="00E61F58">
      <w:pPr>
        <w:numPr>
          <w:ilvl w:val="0"/>
          <w:numId w:val="1"/>
        </w:numPr>
        <w:tabs>
          <w:tab w:val="left" w:pos="993"/>
        </w:tabs>
        <w:adjustRightInd w:val="0"/>
        <w:snapToGrid w:val="0"/>
        <w:spacing w:line="276" w:lineRule="auto"/>
        <w:rPr>
          <w:rFonts w:ascii="仿宋" w:eastAsia="仿宋" w:hAnsi="仿宋"/>
          <w:b/>
          <w:color w:val="000000"/>
          <w:sz w:val="28"/>
          <w:szCs w:val="24"/>
        </w:rPr>
      </w:pPr>
      <w:r w:rsidRPr="00E0575A">
        <w:rPr>
          <w:rFonts w:ascii="仿宋" w:eastAsia="仿宋" w:hAnsi="仿宋"/>
          <w:b/>
          <w:color w:val="000000"/>
          <w:sz w:val="28"/>
          <w:szCs w:val="24"/>
        </w:rPr>
        <w:t>双方的权利与义务</w:t>
      </w:r>
    </w:p>
    <w:p w:rsidR="00E61F58" w:rsidRPr="00E0575A" w:rsidRDefault="00E61F58" w:rsidP="00E61F58">
      <w:pPr>
        <w:numPr>
          <w:ilvl w:val="1"/>
          <w:numId w:val="1"/>
        </w:numPr>
        <w:tabs>
          <w:tab w:val="clear" w:pos="780"/>
          <w:tab w:val="left" w:pos="1080"/>
        </w:tabs>
        <w:adjustRightInd w:val="0"/>
        <w:snapToGrid w:val="0"/>
        <w:spacing w:line="276" w:lineRule="auto"/>
        <w:ind w:left="0" w:firstLine="567"/>
        <w:rPr>
          <w:rFonts w:ascii="仿宋" w:eastAsia="仿宋" w:hAnsi="仿宋"/>
          <w:color w:val="000000"/>
          <w:sz w:val="28"/>
          <w:szCs w:val="24"/>
        </w:rPr>
      </w:pPr>
      <w:r w:rsidRPr="00E0575A">
        <w:rPr>
          <w:rFonts w:ascii="仿宋" w:eastAsia="仿宋" w:hAnsi="仿宋"/>
          <w:color w:val="000000"/>
          <w:sz w:val="28"/>
          <w:szCs w:val="24"/>
        </w:rPr>
        <w:t>甲方保障乙方获得其在参加甲方科学研究工作所完成的研究成果中具有与其贡献相当的署名权，署名顺序由甲方确定，并经过甲方书面同意后才能对外公开。</w:t>
      </w:r>
    </w:p>
    <w:p w:rsidR="00E61F58" w:rsidRPr="00E0575A" w:rsidRDefault="00E61F58" w:rsidP="00E61F58">
      <w:pPr>
        <w:numPr>
          <w:ilvl w:val="1"/>
          <w:numId w:val="1"/>
        </w:numPr>
        <w:tabs>
          <w:tab w:val="clear" w:pos="780"/>
          <w:tab w:val="left" w:pos="1080"/>
        </w:tabs>
        <w:adjustRightInd w:val="0"/>
        <w:snapToGrid w:val="0"/>
        <w:spacing w:line="276" w:lineRule="auto"/>
        <w:ind w:left="0" w:firstLine="567"/>
        <w:rPr>
          <w:rFonts w:ascii="仿宋" w:eastAsia="仿宋" w:hAnsi="仿宋"/>
          <w:color w:val="000000"/>
          <w:sz w:val="28"/>
          <w:szCs w:val="24"/>
        </w:rPr>
      </w:pPr>
      <w:r w:rsidRPr="00E0575A">
        <w:rPr>
          <w:rFonts w:ascii="仿宋" w:eastAsia="仿宋" w:hAnsi="仿宋"/>
          <w:color w:val="000000"/>
          <w:sz w:val="28"/>
          <w:szCs w:val="24"/>
        </w:rPr>
        <w:t>乙方在校学习期间以及离校后，未经甲方书面授权同意，不得利用属于甲方的知识产权参加会议、发表论文、转让技术以及进行其它任何侵权行为。</w:t>
      </w:r>
    </w:p>
    <w:p w:rsidR="00E61F58" w:rsidRPr="00E0575A" w:rsidRDefault="00E61F58" w:rsidP="00E61F58">
      <w:pPr>
        <w:numPr>
          <w:ilvl w:val="1"/>
          <w:numId w:val="1"/>
        </w:numPr>
        <w:tabs>
          <w:tab w:val="clear" w:pos="780"/>
          <w:tab w:val="left" w:pos="1080"/>
        </w:tabs>
        <w:adjustRightInd w:val="0"/>
        <w:snapToGrid w:val="0"/>
        <w:spacing w:line="276" w:lineRule="auto"/>
        <w:ind w:left="0" w:firstLine="567"/>
        <w:rPr>
          <w:rFonts w:ascii="仿宋" w:eastAsia="仿宋" w:hAnsi="仿宋"/>
          <w:color w:val="000000"/>
          <w:sz w:val="28"/>
          <w:szCs w:val="24"/>
        </w:rPr>
      </w:pPr>
      <w:r w:rsidRPr="00E0575A">
        <w:rPr>
          <w:rFonts w:ascii="仿宋" w:eastAsia="仿宋" w:hAnsi="仿宋"/>
          <w:color w:val="000000"/>
          <w:sz w:val="28"/>
          <w:szCs w:val="24"/>
        </w:rPr>
        <w:t>乙方在离校前，须将涉及甲方知识产权的所有实验数据及技术资料等全部交给甲方，未经甲方书面授权同意，不得复制。</w:t>
      </w:r>
    </w:p>
    <w:p w:rsidR="00E61F58" w:rsidRPr="00E0575A" w:rsidRDefault="00E61F58" w:rsidP="00E61F58">
      <w:pPr>
        <w:numPr>
          <w:ilvl w:val="0"/>
          <w:numId w:val="1"/>
        </w:numPr>
        <w:tabs>
          <w:tab w:val="left" w:pos="993"/>
        </w:tabs>
        <w:adjustRightInd w:val="0"/>
        <w:snapToGrid w:val="0"/>
        <w:spacing w:line="276" w:lineRule="auto"/>
        <w:rPr>
          <w:rFonts w:ascii="仿宋" w:eastAsia="仿宋" w:hAnsi="仿宋"/>
          <w:b/>
          <w:color w:val="000000"/>
          <w:sz w:val="28"/>
          <w:szCs w:val="24"/>
        </w:rPr>
      </w:pPr>
      <w:r w:rsidRPr="00E0575A">
        <w:rPr>
          <w:rFonts w:ascii="仿宋" w:eastAsia="仿宋" w:hAnsi="仿宋"/>
          <w:b/>
          <w:color w:val="000000"/>
          <w:sz w:val="28"/>
          <w:szCs w:val="24"/>
        </w:rPr>
        <w:t>违约责任</w:t>
      </w:r>
    </w:p>
    <w:p w:rsidR="00E61F58" w:rsidRPr="00E0575A" w:rsidRDefault="00E61F58" w:rsidP="00E61F58">
      <w:pPr>
        <w:tabs>
          <w:tab w:val="left" w:pos="6660"/>
        </w:tabs>
        <w:adjustRightInd w:val="0"/>
        <w:snapToGrid w:val="0"/>
        <w:spacing w:line="276" w:lineRule="auto"/>
        <w:ind w:firstLineChars="150" w:firstLine="420"/>
        <w:rPr>
          <w:rFonts w:ascii="仿宋" w:eastAsia="仿宋" w:hAnsi="仿宋"/>
          <w:color w:val="000000"/>
          <w:sz w:val="28"/>
          <w:szCs w:val="24"/>
        </w:rPr>
      </w:pPr>
      <w:r w:rsidRPr="00E0575A">
        <w:rPr>
          <w:rFonts w:ascii="仿宋" w:eastAsia="仿宋" w:hAnsi="仿宋"/>
          <w:color w:val="000000"/>
          <w:sz w:val="28"/>
          <w:szCs w:val="24"/>
        </w:rPr>
        <w:t>若一方违反本协议，另一方有权追究其法律责任。</w:t>
      </w:r>
    </w:p>
    <w:p w:rsidR="00E61F58" w:rsidRPr="00E0575A" w:rsidRDefault="00E61F58" w:rsidP="00E61F58">
      <w:pPr>
        <w:numPr>
          <w:ilvl w:val="0"/>
          <w:numId w:val="1"/>
        </w:numPr>
        <w:tabs>
          <w:tab w:val="left" w:pos="993"/>
        </w:tabs>
        <w:adjustRightInd w:val="0"/>
        <w:snapToGrid w:val="0"/>
        <w:spacing w:line="276" w:lineRule="auto"/>
        <w:rPr>
          <w:rFonts w:ascii="仿宋" w:eastAsia="仿宋" w:hAnsi="仿宋"/>
          <w:b/>
          <w:color w:val="000000"/>
          <w:sz w:val="28"/>
          <w:szCs w:val="24"/>
        </w:rPr>
      </w:pPr>
      <w:r w:rsidRPr="00E0575A">
        <w:rPr>
          <w:rFonts w:ascii="仿宋" w:eastAsia="仿宋" w:hAnsi="仿宋"/>
          <w:b/>
          <w:color w:val="000000"/>
          <w:sz w:val="28"/>
          <w:szCs w:val="24"/>
        </w:rPr>
        <w:t>其他</w:t>
      </w:r>
    </w:p>
    <w:p w:rsidR="00E61F58" w:rsidRPr="00E0575A" w:rsidRDefault="00E61F58" w:rsidP="00E61F58">
      <w:pPr>
        <w:numPr>
          <w:ilvl w:val="1"/>
          <w:numId w:val="1"/>
        </w:numPr>
        <w:tabs>
          <w:tab w:val="clear" w:pos="780"/>
          <w:tab w:val="left" w:pos="1134"/>
        </w:tabs>
        <w:adjustRightInd w:val="0"/>
        <w:snapToGrid w:val="0"/>
        <w:spacing w:line="276" w:lineRule="auto"/>
        <w:ind w:left="0" w:firstLine="567"/>
        <w:rPr>
          <w:rFonts w:ascii="仿宋" w:eastAsia="仿宋" w:hAnsi="仿宋"/>
          <w:color w:val="000000"/>
          <w:sz w:val="28"/>
          <w:szCs w:val="24"/>
        </w:rPr>
      </w:pPr>
      <w:r w:rsidRPr="00E0575A">
        <w:rPr>
          <w:rFonts w:ascii="仿宋" w:eastAsia="仿宋" w:hAnsi="仿宋"/>
          <w:color w:val="000000"/>
          <w:sz w:val="28"/>
          <w:szCs w:val="24"/>
        </w:rPr>
        <w:t>本协议一式三份，甲乙双方及乙方导师各执一份。</w:t>
      </w:r>
    </w:p>
    <w:p w:rsidR="00E61F58" w:rsidRPr="00E0575A" w:rsidRDefault="00E61F58" w:rsidP="00E61F58">
      <w:pPr>
        <w:numPr>
          <w:ilvl w:val="1"/>
          <w:numId w:val="1"/>
        </w:numPr>
        <w:tabs>
          <w:tab w:val="clear" w:pos="780"/>
          <w:tab w:val="left" w:pos="1134"/>
        </w:tabs>
        <w:adjustRightInd w:val="0"/>
        <w:snapToGrid w:val="0"/>
        <w:spacing w:line="276" w:lineRule="auto"/>
        <w:ind w:left="0" w:firstLine="567"/>
        <w:rPr>
          <w:rFonts w:ascii="仿宋" w:eastAsia="仿宋" w:hAnsi="仿宋"/>
          <w:color w:val="000000"/>
          <w:sz w:val="28"/>
          <w:szCs w:val="24"/>
        </w:rPr>
      </w:pPr>
      <w:r w:rsidRPr="00E0575A">
        <w:rPr>
          <w:rFonts w:ascii="仿宋" w:eastAsia="仿宋" w:hAnsi="仿宋"/>
          <w:color w:val="000000"/>
          <w:sz w:val="28"/>
          <w:szCs w:val="24"/>
        </w:rPr>
        <w:t>本协议自双方签字之日起生效。</w:t>
      </w:r>
    </w:p>
    <w:p w:rsidR="00E61F58" w:rsidRPr="00E0575A" w:rsidRDefault="00E61F58" w:rsidP="00E61F58">
      <w:pPr>
        <w:tabs>
          <w:tab w:val="left" w:pos="6660"/>
        </w:tabs>
        <w:adjustRightInd w:val="0"/>
        <w:snapToGrid w:val="0"/>
        <w:spacing w:line="276" w:lineRule="auto"/>
        <w:rPr>
          <w:rFonts w:ascii="仿宋" w:eastAsia="仿宋" w:hAnsi="仿宋"/>
          <w:color w:val="000000"/>
          <w:sz w:val="28"/>
          <w:szCs w:val="24"/>
        </w:rPr>
      </w:pPr>
    </w:p>
    <w:tbl>
      <w:tblPr>
        <w:tblW w:w="0" w:type="auto"/>
        <w:tblLook w:val="01E0" w:firstRow="1" w:lastRow="1" w:firstColumn="1" w:lastColumn="1" w:noHBand="0" w:noVBand="0"/>
      </w:tblPr>
      <w:tblGrid>
        <w:gridCol w:w="5387"/>
        <w:gridCol w:w="2919"/>
      </w:tblGrid>
      <w:tr w:rsidR="00E61F58" w:rsidRPr="00E0575A" w:rsidTr="006704BF">
        <w:tc>
          <w:tcPr>
            <w:tcW w:w="5387" w:type="dxa"/>
            <w:vAlign w:val="center"/>
          </w:tcPr>
          <w:p w:rsidR="00E61F58" w:rsidRPr="00E0575A" w:rsidRDefault="00E61F58" w:rsidP="006704BF">
            <w:pPr>
              <w:tabs>
                <w:tab w:val="left" w:pos="6660"/>
              </w:tabs>
              <w:adjustRightInd w:val="0"/>
              <w:snapToGrid w:val="0"/>
              <w:spacing w:line="276" w:lineRule="auto"/>
              <w:rPr>
                <w:rFonts w:ascii="仿宋" w:eastAsia="仿宋" w:hAnsi="仿宋"/>
                <w:color w:val="000000"/>
                <w:sz w:val="28"/>
                <w:szCs w:val="24"/>
              </w:rPr>
            </w:pPr>
            <w:r w:rsidRPr="00E0575A">
              <w:rPr>
                <w:rFonts w:ascii="仿宋" w:eastAsia="仿宋" w:hAnsi="仿宋"/>
                <w:color w:val="000000"/>
                <w:sz w:val="28"/>
                <w:szCs w:val="24"/>
              </w:rPr>
              <w:t>甲方授权代表（导师）签字：</w:t>
            </w:r>
          </w:p>
        </w:tc>
        <w:tc>
          <w:tcPr>
            <w:tcW w:w="2919" w:type="dxa"/>
          </w:tcPr>
          <w:p w:rsidR="00E61F58" w:rsidRPr="00E0575A" w:rsidRDefault="00E61F58" w:rsidP="00AF7E6E">
            <w:pPr>
              <w:spacing w:line="276" w:lineRule="auto"/>
              <w:rPr>
                <w:rFonts w:ascii="仿宋" w:eastAsia="仿宋" w:hAnsi="仿宋"/>
                <w:color w:val="000000"/>
                <w:sz w:val="28"/>
                <w:szCs w:val="24"/>
              </w:rPr>
            </w:pPr>
            <w:r w:rsidRPr="00E0575A">
              <w:rPr>
                <w:rFonts w:ascii="仿宋" w:eastAsia="仿宋" w:hAnsi="仿宋"/>
                <w:color w:val="000000"/>
                <w:sz w:val="28"/>
                <w:szCs w:val="24"/>
              </w:rPr>
              <w:t>乙方签字：</w:t>
            </w:r>
          </w:p>
        </w:tc>
      </w:tr>
      <w:tr w:rsidR="00E61F58" w:rsidRPr="00E0575A" w:rsidTr="006704BF">
        <w:tc>
          <w:tcPr>
            <w:tcW w:w="5387" w:type="dxa"/>
          </w:tcPr>
          <w:p w:rsidR="00E61F58" w:rsidRPr="00E0575A" w:rsidRDefault="00E61F58" w:rsidP="00AF7E6E">
            <w:pPr>
              <w:spacing w:line="276" w:lineRule="auto"/>
              <w:ind w:leftChars="1" w:left="850" w:hangingChars="303" w:hanging="848"/>
              <w:rPr>
                <w:rFonts w:ascii="仿宋" w:eastAsia="仿宋" w:hAnsi="仿宋"/>
                <w:color w:val="000000"/>
                <w:sz w:val="28"/>
                <w:szCs w:val="24"/>
              </w:rPr>
            </w:pPr>
            <w:r w:rsidRPr="00E0575A">
              <w:rPr>
                <w:rFonts w:ascii="仿宋" w:eastAsia="仿宋" w:hAnsi="仿宋"/>
                <w:color w:val="000000"/>
                <w:sz w:val="28"/>
                <w:szCs w:val="24"/>
              </w:rPr>
              <w:t>盖章：</w:t>
            </w:r>
            <w:r>
              <w:rPr>
                <w:rFonts w:ascii="仿宋" w:eastAsia="仿宋" w:hAnsi="仿宋" w:hint="eastAsia"/>
                <w:color w:val="000000"/>
                <w:sz w:val="28"/>
                <w:szCs w:val="24"/>
              </w:rPr>
              <w:t>华中</w:t>
            </w:r>
            <w:r>
              <w:rPr>
                <w:rFonts w:ascii="仿宋" w:eastAsia="仿宋" w:hAnsi="仿宋"/>
                <w:color w:val="000000"/>
                <w:sz w:val="28"/>
                <w:szCs w:val="24"/>
              </w:rPr>
              <w:t>科技大学</w:t>
            </w:r>
            <w:r>
              <w:rPr>
                <w:rFonts w:ascii="仿宋" w:eastAsia="仿宋" w:hAnsi="仿宋" w:hint="eastAsia"/>
                <w:color w:val="000000"/>
                <w:sz w:val="28"/>
                <w:szCs w:val="24"/>
              </w:rPr>
              <w:t>物理</w:t>
            </w:r>
            <w:r>
              <w:rPr>
                <w:rFonts w:ascii="仿宋" w:eastAsia="仿宋" w:hAnsi="仿宋"/>
                <w:color w:val="000000"/>
                <w:sz w:val="28"/>
                <w:szCs w:val="24"/>
              </w:rPr>
              <w:t>学院引力中心</w:t>
            </w:r>
            <w:r w:rsidRPr="00E0575A" w:rsidDel="00D94C91">
              <w:rPr>
                <w:rFonts w:ascii="仿宋" w:eastAsia="仿宋" w:hAnsi="仿宋"/>
                <w:color w:val="000000"/>
                <w:sz w:val="28"/>
                <w:szCs w:val="24"/>
              </w:rPr>
              <w:t xml:space="preserve"> </w:t>
            </w:r>
          </w:p>
        </w:tc>
        <w:tc>
          <w:tcPr>
            <w:tcW w:w="2919" w:type="dxa"/>
          </w:tcPr>
          <w:p w:rsidR="00E61F58" w:rsidRPr="00E0575A" w:rsidRDefault="00E61F58" w:rsidP="00AF7E6E">
            <w:pPr>
              <w:spacing w:line="276" w:lineRule="auto"/>
              <w:rPr>
                <w:rFonts w:ascii="仿宋" w:eastAsia="仿宋" w:hAnsi="仿宋"/>
                <w:color w:val="000000"/>
                <w:sz w:val="28"/>
                <w:szCs w:val="24"/>
              </w:rPr>
            </w:pPr>
          </w:p>
        </w:tc>
      </w:tr>
      <w:tr w:rsidR="00E61F58" w:rsidRPr="00E0575A" w:rsidTr="006704BF">
        <w:tc>
          <w:tcPr>
            <w:tcW w:w="5387" w:type="dxa"/>
          </w:tcPr>
          <w:p w:rsidR="00E61F58" w:rsidRPr="00E0575A" w:rsidRDefault="00E61F58" w:rsidP="00AF7E6E">
            <w:pPr>
              <w:spacing w:line="276" w:lineRule="auto"/>
              <w:rPr>
                <w:rFonts w:ascii="Times New Roman" w:eastAsia="仿宋_GB2312" w:hAnsi="Times New Roman"/>
                <w:color w:val="000000"/>
                <w:sz w:val="28"/>
                <w:szCs w:val="24"/>
              </w:rPr>
            </w:pPr>
            <w:r w:rsidRPr="00E0575A">
              <w:rPr>
                <w:rFonts w:ascii="Times New Roman" w:eastAsia="仿宋_GB2312" w:hAnsi="Times New Roman"/>
                <w:color w:val="000000"/>
                <w:sz w:val="28"/>
                <w:szCs w:val="24"/>
              </w:rPr>
              <w:t>日期：</w:t>
            </w:r>
            <w:bookmarkStart w:id="1" w:name="_GoBack"/>
            <w:bookmarkEnd w:id="1"/>
          </w:p>
        </w:tc>
        <w:tc>
          <w:tcPr>
            <w:tcW w:w="2919" w:type="dxa"/>
          </w:tcPr>
          <w:p w:rsidR="00E61F58" w:rsidRPr="00E0575A" w:rsidRDefault="00E61F58" w:rsidP="00AF7E6E">
            <w:pPr>
              <w:spacing w:line="276" w:lineRule="auto"/>
              <w:rPr>
                <w:rFonts w:ascii="Times New Roman" w:eastAsia="仿宋_GB2312" w:hAnsi="Times New Roman"/>
                <w:color w:val="000000"/>
                <w:sz w:val="28"/>
                <w:szCs w:val="24"/>
              </w:rPr>
            </w:pPr>
            <w:r w:rsidRPr="00E0575A">
              <w:rPr>
                <w:rFonts w:ascii="Times New Roman" w:eastAsia="仿宋_GB2312" w:hAnsi="Times New Roman"/>
                <w:color w:val="000000"/>
                <w:sz w:val="28"/>
                <w:szCs w:val="24"/>
              </w:rPr>
              <w:t>日期：</w:t>
            </w:r>
          </w:p>
        </w:tc>
      </w:tr>
    </w:tbl>
    <w:p w:rsidR="007D5218" w:rsidRDefault="007D5218"/>
    <w:sectPr w:rsidR="007D52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928B4"/>
    <w:multiLevelType w:val="multilevel"/>
    <w:tmpl w:val="D48822A6"/>
    <w:lvl w:ilvl="0">
      <w:start w:val="1"/>
      <w:numFmt w:val="japaneseCounting"/>
      <w:lvlText w:val="第%1条"/>
      <w:lvlJc w:val="left"/>
      <w:pPr>
        <w:tabs>
          <w:tab w:val="num" w:pos="285"/>
        </w:tabs>
        <w:ind w:left="285" w:hanging="285"/>
      </w:pPr>
      <w:rPr>
        <w:rFonts w:hint="default"/>
        <w:b/>
        <w:lang w:val="en-US"/>
      </w:rPr>
    </w:lvl>
    <w:lvl w:ilvl="1">
      <w:start w:val="1"/>
      <w:numFmt w:val="decimal"/>
      <w:isLgl/>
      <w:lvlText w:val="%1.%2"/>
      <w:lvlJc w:val="left"/>
      <w:pPr>
        <w:tabs>
          <w:tab w:val="num" w:pos="780"/>
        </w:tabs>
        <w:ind w:left="780" w:hanging="495"/>
      </w:pPr>
      <w:rPr>
        <w:rFonts w:hint="eastAsia"/>
      </w:rPr>
    </w:lvl>
    <w:lvl w:ilvl="2">
      <w:start w:val="1"/>
      <w:numFmt w:val="decimal"/>
      <w:isLgl/>
      <w:lvlText w:val="%1.%2.%3"/>
      <w:lvlJc w:val="left"/>
      <w:pPr>
        <w:tabs>
          <w:tab w:val="num" w:pos="1065"/>
        </w:tabs>
        <w:ind w:left="1065" w:hanging="495"/>
      </w:pPr>
      <w:rPr>
        <w:rFonts w:hint="eastAsia"/>
      </w:rPr>
    </w:lvl>
    <w:lvl w:ilvl="3">
      <w:start w:val="1"/>
      <w:numFmt w:val="decimal"/>
      <w:isLgl/>
      <w:lvlText w:val="%1.%2.%3.%4"/>
      <w:lvlJc w:val="left"/>
      <w:pPr>
        <w:tabs>
          <w:tab w:val="num" w:pos="1350"/>
        </w:tabs>
        <w:ind w:left="1350" w:hanging="495"/>
      </w:pPr>
      <w:rPr>
        <w:rFonts w:hint="eastAsia"/>
      </w:rPr>
    </w:lvl>
    <w:lvl w:ilvl="4">
      <w:start w:val="1"/>
      <w:numFmt w:val="decimal"/>
      <w:isLgl/>
      <w:lvlText w:val="%1.%2.%3.%4.%5"/>
      <w:lvlJc w:val="left"/>
      <w:pPr>
        <w:tabs>
          <w:tab w:val="num" w:pos="1635"/>
        </w:tabs>
        <w:ind w:left="1635" w:hanging="495"/>
      </w:pPr>
      <w:rPr>
        <w:rFonts w:hint="eastAsia"/>
      </w:rPr>
    </w:lvl>
    <w:lvl w:ilvl="5">
      <w:start w:val="1"/>
      <w:numFmt w:val="decimal"/>
      <w:isLgl/>
      <w:lvlText w:val="%1.%2.%3.%4.%5.%6"/>
      <w:lvlJc w:val="left"/>
      <w:pPr>
        <w:tabs>
          <w:tab w:val="num" w:pos="1920"/>
        </w:tabs>
        <w:ind w:left="1920" w:hanging="495"/>
      </w:pPr>
      <w:rPr>
        <w:rFonts w:hint="eastAsia"/>
      </w:rPr>
    </w:lvl>
    <w:lvl w:ilvl="6">
      <w:start w:val="1"/>
      <w:numFmt w:val="decimal"/>
      <w:isLgl/>
      <w:lvlText w:val="%1.%2.%3.%4.%5.%6.%7"/>
      <w:lvlJc w:val="left"/>
      <w:pPr>
        <w:tabs>
          <w:tab w:val="num" w:pos="2205"/>
        </w:tabs>
        <w:ind w:left="2205" w:hanging="495"/>
      </w:pPr>
      <w:rPr>
        <w:rFonts w:hint="eastAsia"/>
      </w:rPr>
    </w:lvl>
    <w:lvl w:ilvl="7">
      <w:start w:val="1"/>
      <w:numFmt w:val="decimal"/>
      <w:isLgl/>
      <w:lvlText w:val="%1.%2.%3.%4.%5.%6.%7.%8"/>
      <w:lvlJc w:val="left"/>
      <w:pPr>
        <w:tabs>
          <w:tab w:val="num" w:pos="2490"/>
        </w:tabs>
        <w:ind w:left="2490" w:hanging="495"/>
      </w:pPr>
      <w:rPr>
        <w:rFonts w:hint="eastAsia"/>
      </w:rPr>
    </w:lvl>
    <w:lvl w:ilvl="8">
      <w:start w:val="1"/>
      <w:numFmt w:val="decimal"/>
      <w:isLgl/>
      <w:lvlText w:val="%1.%2.%3.%4.%5.%6.%7.%8.%9"/>
      <w:lvlJc w:val="left"/>
      <w:pPr>
        <w:tabs>
          <w:tab w:val="num" w:pos="2775"/>
        </w:tabs>
        <w:ind w:left="2775" w:hanging="4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58"/>
    <w:rsid w:val="006704BF"/>
    <w:rsid w:val="007D5218"/>
    <w:rsid w:val="00A45EB0"/>
    <w:rsid w:val="00E61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AD69"/>
  <w15:chartTrackingRefBased/>
  <w15:docId w15:val="{3A3F6650-4A96-482E-9ABB-1A5DCF8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58"/>
    <w:pPr>
      <w:widowControl w:val="0"/>
      <w:jc w:val="both"/>
    </w:pPr>
    <w:rPr>
      <w:rFonts w:ascii="Calibri" w:eastAsia="宋体" w:hAnsi="Calibri" w:cs="Times New Roman"/>
    </w:rPr>
  </w:style>
  <w:style w:type="paragraph" w:styleId="3">
    <w:name w:val="heading 3"/>
    <w:basedOn w:val="a"/>
    <w:next w:val="a"/>
    <w:link w:val="30"/>
    <w:uiPriority w:val="9"/>
    <w:qFormat/>
    <w:rsid w:val="00E61F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61F58"/>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Company>Sky123.Org</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蔡仕衡</dc:creator>
  <cp:keywords/>
  <dc:description/>
  <cp:lastModifiedBy>蔡仕衡</cp:lastModifiedBy>
  <cp:revision>2</cp:revision>
  <dcterms:created xsi:type="dcterms:W3CDTF">2018-08-30T02:04:00Z</dcterms:created>
  <dcterms:modified xsi:type="dcterms:W3CDTF">2018-08-31T01:53:00Z</dcterms:modified>
</cp:coreProperties>
</file>